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8E" w:rsidRDefault="00C36C8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6C8E" w:rsidRDefault="00C36C8E">
      <w:pPr>
        <w:pStyle w:val="ConsPlusNormal"/>
        <w:jc w:val="both"/>
        <w:outlineLvl w:val="0"/>
      </w:pPr>
    </w:p>
    <w:p w:rsidR="00C36C8E" w:rsidRDefault="00C36C8E">
      <w:pPr>
        <w:pStyle w:val="ConsPlusTitle"/>
        <w:jc w:val="center"/>
      </w:pPr>
      <w:r>
        <w:t>ФЕДЕРАЛЬНАЯ АНТИМОНОПОЛЬНАЯ СЛУЖБА</w:t>
      </w:r>
    </w:p>
    <w:p w:rsidR="00C36C8E" w:rsidRDefault="00C36C8E">
      <w:pPr>
        <w:pStyle w:val="ConsPlusTitle"/>
        <w:jc w:val="center"/>
      </w:pPr>
    </w:p>
    <w:p w:rsidR="00C36C8E" w:rsidRDefault="00C36C8E">
      <w:pPr>
        <w:pStyle w:val="ConsPlusTitle"/>
        <w:jc w:val="center"/>
      </w:pPr>
      <w:r>
        <w:t>ПИСЬМО</w:t>
      </w:r>
    </w:p>
    <w:p w:rsidR="00C36C8E" w:rsidRDefault="00C36C8E">
      <w:pPr>
        <w:pStyle w:val="ConsPlusTitle"/>
        <w:jc w:val="center"/>
      </w:pPr>
      <w:r>
        <w:t>от 30 июля 2025 г. N ГР/71361/25</w:t>
      </w:r>
    </w:p>
    <w:p w:rsidR="00C36C8E" w:rsidRDefault="00C36C8E">
      <w:pPr>
        <w:pStyle w:val="ConsPlusTitle"/>
        <w:jc w:val="center"/>
      </w:pPr>
    </w:p>
    <w:p w:rsidR="00C36C8E" w:rsidRDefault="00C36C8E">
      <w:pPr>
        <w:pStyle w:val="ConsPlusTitle"/>
        <w:jc w:val="center"/>
      </w:pPr>
      <w:r>
        <w:t>О РАССМОТРЕНИИ ОБРАЩЕНИЯ</w:t>
      </w:r>
    </w:p>
    <w:p w:rsidR="00C36C8E" w:rsidRDefault="00C36C8E">
      <w:pPr>
        <w:pStyle w:val="ConsPlusNormal"/>
        <w:jc w:val="both"/>
      </w:pPr>
    </w:p>
    <w:p w:rsidR="00C36C8E" w:rsidRDefault="00C36C8E">
      <w:pPr>
        <w:pStyle w:val="ConsPlusNormal"/>
        <w:ind w:firstLine="540"/>
        <w:jc w:val="both"/>
      </w:pPr>
      <w:proofErr w:type="gramStart"/>
      <w:r>
        <w:t xml:space="preserve">Из обращения следует, что УФАС России (далее - Управление) рассмотрена и неправомерно признана необоснованной жалоба Заявителя на действия комиссии по осуществлению закупок при проведении закупки в соответствии с </w:t>
      </w:r>
      <w:hyperlink r:id="rId6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 &lt;1&gt;, на поставку интерактивной панели (далее - Извещение, Закупка), выразившиеся в неправомерном отклонении заявки Заявителя от участия в Закупке.</w:t>
      </w:r>
      <w:proofErr w:type="gramEnd"/>
    </w:p>
    <w:p w:rsidR="00C36C8E" w:rsidRDefault="00C36C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C8E" w:rsidRDefault="00C36C8E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36C8E" w:rsidRDefault="00C36C8E">
      <w:pPr>
        <w:pStyle w:val="ConsPlusNormal"/>
        <w:jc w:val="both"/>
      </w:pPr>
    </w:p>
    <w:p w:rsidR="00C36C8E" w:rsidRDefault="00C36C8E">
      <w:pPr>
        <w:pStyle w:val="ConsPlusNormal"/>
        <w:ind w:firstLine="540"/>
        <w:jc w:val="both"/>
      </w:pPr>
      <w:r>
        <w:t xml:space="preserve">Из протокола подведения итогов определения поставщика (подрядчика, исполнителя) заявка Заявителя отклонена на основании несоответствия информации и документов, предусмотренных </w:t>
      </w:r>
      <w:hyperlink r:id="rId8">
        <w:r>
          <w:rPr>
            <w:color w:val="0000FF"/>
          </w:rPr>
          <w:t>подпунктом "в" пункта 5 части 12 статьи 93</w:t>
        </w:r>
      </w:hyperlink>
      <w:r>
        <w:t xml:space="preserve"> Закона о контрактной системе, требованиям, установленным в Извещении, а именно указанный диапазон доставки не соответствует требуемому.</w:t>
      </w:r>
    </w:p>
    <w:p w:rsidR="00C36C8E" w:rsidRDefault="00C36C8E">
      <w:pPr>
        <w:pStyle w:val="ConsPlusNormal"/>
        <w:spacing w:before="220"/>
        <w:ind w:firstLine="540"/>
        <w:jc w:val="both"/>
      </w:pPr>
      <w:r>
        <w:t xml:space="preserve">Пунктом 1.3 проекта контракта Извещения установлено, что поставка товара осуществляется в течение 60 календарных дней </w:t>
      </w:r>
      <w:proofErr w:type="gramStart"/>
      <w:r>
        <w:t>с даты подписания</w:t>
      </w:r>
      <w:proofErr w:type="gramEnd"/>
      <w:r>
        <w:t xml:space="preserve"> контракта.</w:t>
      </w:r>
    </w:p>
    <w:p w:rsidR="00C36C8E" w:rsidRDefault="00C36C8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Подпунктом "л" пункта 1 части 12 статьи 93</w:t>
        </w:r>
      </w:hyperlink>
      <w:r>
        <w:t xml:space="preserve"> Закона о контрактной системе установлено, что в целях участия в проводимых на электронной площадке закупках, предусмотренных </w:t>
      </w:r>
      <w:hyperlink r:id="rId10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системе, участники закупки вправе сформировать на электронной площадке предварительное предложение о поставке товаров, содержащее в отношении каждого товара, предлагаемого таким участником закупки к </w:t>
      </w:r>
      <w:proofErr w:type="gramStart"/>
      <w:r>
        <w:t>поставкам</w:t>
      </w:r>
      <w:proofErr w:type="gramEnd"/>
      <w:r>
        <w:t xml:space="preserve"> в том числе минимальный срок и (или) максимальный срок поставки товара.</w:t>
      </w:r>
    </w:p>
    <w:p w:rsidR="00C36C8E" w:rsidRDefault="00C36C8E">
      <w:pPr>
        <w:pStyle w:val="ConsPlusNormal"/>
        <w:spacing w:before="220"/>
        <w:ind w:firstLine="540"/>
        <w:jc w:val="both"/>
      </w:pPr>
      <w:r>
        <w:t>Заявителем в предварительном предложении в отношении срока поставки товара установлено: "Минимальный срок поставки товара, дней - 55", "Максимальный срок поставки товара, дней - 70".</w:t>
      </w:r>
    </w:p>
    <w:p w:rsidR="00C36C8E" w:rsidRDefault="00C36C8E">
      <w:pPr>
        <w:pStyle w:val="ConsPlusNormal"/>
        <w:spacing w:before="220"/>
        <w:ind w:firstLine="540"/>
        <w:jc w:val="both"/>
      </w:pPr>
      <w:proofErr w:type="gramStart"/>
      <w:r>
        <w:t xml:space="preserve">Из </w:t>
      </w:r>
      <w:hyperlink r:id="rId11">
        <w:r>
          <w:rPr>
            <w:color w:val="0000FF"/>
          </w:rPr>
          <w:t>письма</w:t>
        </w:r>
      </w:hyperlink>
      <w:r>
        <w:t xml:space="preserve"> Минфина России от 20.08.2020 N 24-06-08/73161 также следует, что оператор отбирает из числа всех предварительных предложений не более пяти заявок на участие в закупке, соответствующих требованиям, установленным в извещении об осуществлении закупки в соответствии с </w:t>
      </w:r>
      <w:hyperlink r:id="rId12">
        <w:r>
          <w:rPr>
            <w:color w:val="0000FF"/>
          </w:rPr>
          <w:t>подпунктом "в"</w:t>
        </w:r>
      </w:hyperlink>
      <w:r>
        <w:t xml:space="preserve"> (в том числе в части цены единицы товара и срока поставки) и </w:t>
      </w:r>
      <w:hyperlink r:id="rId13">
        <w:r>
          <w:rPr>
            <w:color w:val="0000FF"/>
          </w:rPr>
          <w:t>"е" пункта 3 части 12 статьи 93</w:t>
        </w:r>
      </w:hyperlink>
      <w:r>
        <w:t xml:space="preserve"> Закона</w:t>
      </w:r>
      <w:proofErr w:type="gramEnd"/>
      <w:r>
        <w:t xml:space="preserve"> о контрактной системе.</w:t>
      </w:r>
    </w:p>
    <w:p w:rsidR="00C36C8E" w:rsidRDefault="00C36C8E">
      <w:pPr>
        <w:pStyle w:val="ConsPlusNormal"/>
        <w:spacing w:before="220"/>
        <w:ind w:firstLine="540"/>
        <w:jc w:val="both"/>
      </w:pPr>
      <w:r>
        <w:t xml:space="preserve">Кроме того, ФАС России отмечает, что положениями </w:t>
      </w:r>
      <w:hyperlink r:id="rId14">
        <w:r>
          <w:rPr>
            <w:color w:val="0000FF"/>
          </w:rPr>
          <w:t>части 12 статьи 93</w:t>
        </w:r>
      </w:hyperlink>
      <w:r>
        <w:t xml:space="preserve"> Закона о контрактной системе предусматривается формирование участником закупки одного предварительного предложения в отношении нескольких товаров, предлагаемых участником закупки к поставке, в </w:t>
      </w:r>
      <w:proofErr w:type="gramStart"/>
      <w:r>
        <w:t>связи</w:t>
      </w:r>
      <w:proofErr w:type="gramEnd"/>
      <w:r>
        <w:t xml:space="preserve"> с чем в данном случае предварительное предложение Заявителя по определению соответствует требованиям Извещения, поскольку при подаче предварительного предложения Заявитель не мог быть осведомлен о потребностях заказчика, в связи с чем действия Комиссии по осуществлению закупок, неправомерно отклонившего заявку Заявителя, нарушают требования </w:t>
      </w:r>
      <w:hyperlink r:id="rId15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C36C8E" w:rsidRDefault="00C36C8E">
      <w:pPr>
        <w:pStyle w:val="ConsPlusNormal"/>
        <w:spacing w:before="220"/>
        <w:ind w:firstLine="540"/>
        <w:jc w:val="both"/>
      </w:pPr>
      <w:r>
        <w:lastRenderedPageBreak/>
        <w:t xml:space="preserve">Вышеуказанные выводы не отражены в решении Управления (далее - Решение), в </w:t>
      </w:r>
      <w:proofErr w:type="gramStart"/>
      <w:r>
        <w:t>связи</w:t>
      </w:r>
      <w:proofErr w:type="gramEnd"/>
      <w:r>
        <w:t xml:space="preserve"> с чем ФАС России в адрес Управления направлено письмо о необходимости строгого соблюдения требований законодательства Российской Федерации о контрактной системе в сфере закупок при проведении контрольных мероприятий.</w:t>
      </w:r>
    </w:p>
    <w:p w:rsidR="00C36C8E" w:rsidRDefault="00C36C8E">
      <w:pPr>
        <w:pStyle w:val="ConsPlusNormal"/>
        <w:spacing w:before="220"/>
        <w:ind w:firstLine="540"/>
        <w:jc w:val="both"/>
      </w:pPr>
      <w:r>
        <w:t xml:space="preserve">Дополнительно ФАС России сообщает, что Решение может быть обжаловано в судебном порядке в течение трех месяцев </w:t>
      </w:r>
      <w:proofErr w:type="gramStart"/>
      <w:r>
        <w:t>с даты</w:t>
      </w:r>
      <w:proofErr w:type="gramEnd"/>
      <w:r>
        <w:t xml:space="preserve"> его принятия.</w:t>
      </w:r>
    </w:p>
    <w:p w:rsidR="00C36C8E" w:rsidRDefault="00C36C8E">
      <w:pPr>
        <w:pStyle w:val="ConsPlusNormal"/>
        <w:jc w:val="both"/>
      </w:pPr>
    </w:p>
    <w:p w:rsidR="00C36C8E" w:rsidRDefault="00C36C8E">
      <w:pPr>
        <w:pStyle w:val="ConsPlusNormal"/>
        <w:jc w:val="right"/>
      </w:pPr>
      <w:r>
        <w:t>Г.Г.РАДИОНОВ</w:t>
      </w:r>
    </w:p>
    <w:p w:rsidR="00C36C8E" w:rsidRDefault="00C36C8E">
      <w:pPr>
        <w:pStyle w:val="ConsPlusNormal"/>
        <w:jc w:val="both"/>
      </w:pPr>
    </w:p>
    <w:p w:rsidR="00C36C8E" w:rsidRDefault="00C36C8E">
      <w:pPr>
        <w:pStyle w:val="ConsPlusNormal"/>
        <w:jc w:val="both"/>
      </w:pPr>
    </w:p>
    <w:p w:rsidR="00C36C8E" w:rsidRDefault="00C36C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C56" w:rsidRDefault="000C0C56">
      <w:bookmarkStart w:id="0" w:name="_GoBack"/>
      <w:bookmarkEnd w:id="0"/>
    </w:p>
    <w:sectPr w:rsidR="000C0C56" w:rsidSect="0088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8E"/>
    <w:rsid w:val="000C0C56"/>
    <w:rsid w:val="00C3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C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C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st=2942" TargetMode="External"/><Relationship Id="rId13" Type="http://schemas.openxmlformats.org/officeDocument/2006/relationships/hyperlink" Target="https://login.consultant.ru/link/?req=doc&amp;base=LAW&amp;n=494990&amp;dst=1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0" TargetMode="External"/><Relationship Id="rId12" Type="http://schemas.openxmlformats.org/officeDocument/2006/relationships/hyperlink" Target="https://login.consultant.ru/link/?req=doc&amp;base=LAW&amp;n=494990&amp;dst=196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st=12286" TargetMode="External"/><Relationship Id="rId11" Type="http://schemas.openxmlformats.org/officeDocument/2006/relationships/hyperlink" Target="https://login.consultant.ru/link/?req=doc&amp;base=QUEST&amp;n=210552&amp;dst=10000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90" TargetMode="External"/><Relationship Id="rId10" Type="http://schemas.openxmlformats.org/officeDocument/2006/relationships/hyperlink" Target="https://login.consultant.ru/link/?req=doc&amp;base=LAW&amp;n=494990&amp;dst=12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0&amp;dst=12241" TargetMode="External"/><Relationship Id="rId14" Type="http://schemas.openxmlformats.org/officeDocument/2006/relationships/hyperlink" Target="https://login.consultant.ru/link/?req=doc&amp;base=LAW&amp;n=494990&amp;dst=12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2025-09-26T08:14:00Z</dcterms:created>
  <dcterms:modified xsi:type="dcterms:W3CDTF">2025-09-26T08:14:00Z</dcterms:modified>
</cp:coreProperties>
</file>